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200"/>
        <w:jc w:val="center"/>
      </w:pPr>
      <w:r>
        <w:rPr>
          <w:b/>
          <w:i w:val="0"/>
          <w:sz w:val="30"/>
        </w:rPr>
        <w:t>BỘ HỒ SƠ PCCC CƠ SỞ – MẪU TỰ ĐIỀN</w:t>
      </w:r>
    </w:p>
    <w:p>
      <w:pPr>
        <w:spacing w:after="200"/>
        <w:jc w:val="center"/>
      </w:pPr>
      <w:r>
        <w:rPr>
          <w:b/>
          <w:i w:val="0"/>
        </w:rPr>
        <w:t>Hướng dẫn sử dụng và danh mục hồ sơ quản lý công tác PCCC và CNCH</w:t>
      </w:r>
    </w:p>
    <w:p>
      <w:pPr>
        <w:jc w:val="both"/>
      </w:pPr>
      <w:r>
        <w:rPr>
          <w:b w:val="0"/>
          <w:i w:val="0"/>
        </w:rPr>
        <w:t>Bộ mẫu gồm 3 mẫu soạn sẵn cho cơ sở (công ty, nhà xưởng, kho hàng, cửa hàng, nhà hàng, nhà nghỉ, nhà trọ, cây xăng…). Mỗi mẫu có ô màu vàng để điền và khung xanh hướng dẫn từng mục. Kèm theo là bản ví dụ đã điền cho một kho thép.</w:t>
      </w:r>
    </w:p>
    <w:p>
      <w:pPr>
        <w:keepNext/>
        <w:spacing w:before="160"/>
      </w:pPr>
      <w:r>
        <w:rPr>
          <w:b/>
          <w:i w:val="0"/>
          <w:sz w:val="26"/>
        </w:rPr>
        <w:t>1. Cách dùng</w:t>
      </w:r>
    </w:p>
    <w:p>
      <w:pPr>
        <w:ind w:left="340" w:hanging="227"/>
        <w:jc w:val="both"/>
      </w:pPr>
      <w:r>
        <w:rPr>
          <w:b w:val="0"/>
          <w:i w:val="0"/>
        </w:rPr>
        <w:t xml:space="preserve">– </w:t>
      </w:r>
      <w:r>
        <w:rPr>
          <w:b w:val="0"/>
          <w:i w:val="0"/>
        </w:rPr>
        <w:t>Mở file Word, thay từng ô [màu vàng] bằng thông tin của cơ sở, rồi xóa nền vàng (Home → Text Highlight → No Color).</w:t>
      </w:r>
    </w:p>
    <w:p>
      <w:pPr>
        <w:ind w:left="340" w:hanging="227"/>
        <w:jc w:val="both"/>
      </w:pPr>
      <w:r>
        <w:rPr>
          <w:b w:val="0"/>
          <w:i w:val="0"/>
        </w:rPr>
        <w:t xml:space="preserve">– </w:t>
      </w:r>
      <w:r>
        <w:rPr>
          <w:b w:val="0"/>
          <w:i w:val="0"/>
        </w:rPr>
        <w:t>Đọc khung HƯỚNG DẪN trước khi điền; xóa các khung này trước khi in, ký, đóng dấu.</w:t>
      </w:r>
    </w:p>
    <w:p>
      <w:pPr>
        <w:ind w:left="340" w:hanging="227"/>
        <w:jc w:val="both"/>
      </w:pPr>
      <w:r>
        <w:rPr>
          <w:b w:val="0"/>
          <w:i w:val="0"/>
        </w:rPr>
        <w:t xml:space="preserve">– </w:t>
      </w:r>
      <w:r>
        <w:rPr>
          <w:b w:val="0"/>
          <w:i w:val="0"/>
        </w:rPr>
        <w:t>Xem bản VÍ DỤ (kho thép) để biết mức độ chi tiết cần ghi.</w:t>
      </w:r>
    </w:p>
    <w:p>
      <w:pPr>
        <w:ind w:left="340" w:hanging="227"/>
        <w:jc w:val="both"/>
      </w:pPr>
      <w:r>
        <w:rPr>
          <w:b w:val="0"/>
          <w:i w:val="0"/>
        </w:rPr>
        <w:t xml:space="preserve">– </w:t>
      </w:r>
      <w:r>
        <w:rPr>
          <w:b w:val="0"/>
          <w:i w:val="0"/>
        </w:rPr>
        <w:t>Chỗ đánh ⚠ là điều khoản, số liệu cần đối chiếu văn bản gốc hoặc hỏi Công an PCCC địa phương trước khi dùng.</w:t>
      </w:r>
    </w:p>
    <w:p>
      <w:pPr>
        <w:ind w:left="340" w:hanging="227"/>
        <w:jc w:val="both"/>
      </w:pPr>
      <w:r>
        <w:rPr>
          <w:b w:val="0"/>
          <w:i w:val="0"/>
        </w:rPr>
        <w:t xml:space="preserve">– </w:t>
      </w:r>
      <w:r>
        <w:rPr>
          <w:b w:val="0"/>
          <w:i w:val="0"/>
        </w:rPr>
        <w:t>Lưu hồ sơ tại cơ sở, sẵn sàng xuất trình khi cơ quan có thẩm quyền kiểm tra.</w:t>
      </w:r>
    </w:p>
    <w:p>
      <w:pPr>
        <w:keepNext/>
        <w:spacing w:before="160"/>
      </w:pPr>
      <w:r>
        <w:rPr>
          <w:b/>
          <w:i w:val="0"/>
          <w:sz w:val="26"/>
        </w:rPr>
        <w:t>2. Căn cứ pháp lý (cập nhật 31/10/2026)</w:t>
      </w:r>
    </w:p>
    <w:p>
      <w:pPr>
        <w:ind w:left="340" w:hanging="227"/>
        <w:jc w:val="both"/>
      </w:pPr>
      <w:r>
        <w:rPr>
          <w:b w:val="0"/>
          <w:i w:val="0"/>
        </w:rPr>
        <w:t xml:space="preserve">– </w:t>
      </w:r>
      <w:r>
        <w:rPr>
          <w:b w:val="0"/>
          <w:i w:val="0"/>
        </w:rPr>
        <w:t>Luật Phòng cháy, chữa cháy và cứu nạn, cứu hộ số 55/2024/QH15 (hiệu lực 01/07/2025)</w:t>
      </w:r>
    </w:p>
    <w:p>
      <w:pPr>
        <w:ind w:left="340" w:hanging="227"/>
        <w:jc w:val="both"/>
      </w:pPr>
      <w:r>
        <w:rPr>
          <w:b w:val="0"/>
          <w:i w:val="0"/>
        </w:rPr>
        <w:t xml:space="preserve">– </w:t>
      </w:r>
      <w:r>
        <w:rPr>
          <w:b w:val="0"/>
          <w:i w:val="0"/>
        </w:rPr>
        <w:t>Nghị định 105/2025/NĐ-CP quy định chi tiết Luật PCCC và CNCH; đã được sửa đổi bởi Nghị định 347/2026/NĐ-CP (hiệu lực 15/09/2026 ⚠)</w:t>
      </w:r>
    </w:p>
    <w:p>
      <w:pPr>
        <w:ind w:left="340" w:hanging="227"/>
        <w:jc w:val="both"/>
      </w:pPr>
      <w:r>
        <w:rPr>
          <w:b w:val="0"/>
          <w:i w:val="0"/>
        </w:rPr>
        <w:t xml:space="preserve">– </w:t>
      </w:r>
      <w:r>
        <w:rPr>
          <w:b w:val="0"/>
          <w:i w:val="0"/>
        </w:rPr>
        <w:t>Thông tư 36/2025/TT-BCA quy định chi tiết Luật PCCC và CNCH và Nghị định 105/2025/NĐ-CP</w:t>
      </w:r>
    </w:p>
    <w:p>
      <w:pPr>
        <w:ind w:left="340" w:hanging="227"/>
        <w:jc w:val="both"/>
      </w:pPr>
      <w:r>
        <w:rPr>
          <w:b w:val="0"/>
          <w:i w:val="0"/>
        </w:rPr>
        <w:t xml:space="preserve">– </w:t>
      </w:r>
      <w:r>
        <w:rPr>
          <w:b w:val="0"/>
          <w:i w:val="0"/>
        </w:rPr>
        <w:t>Nghị định 106/2025/NĐ-CP quy định xử phạt vi phạm hành chính về PCCC và CNCH</w:t>
      </w:r>
    </w:p>
    <w:p>
      <w:pPr>
        <w:ind w:left="340" w:hanging="227"/>
        <w:jc w:val="both"/>
      </w:pPr>
      <w:r>
        <w:rPr>
          <w:b w:val="0"/>
          <w:i w:val="0"/>
        </w:rPr>
        <w:t xml:space="preserve">– </w:t>
      </w:r>
      <w:r>
        <w:rPr>
          <w:b w:val="0"/>
          <w:i w:val="0"/>
        </w:rPr>
        <w:t>QCVN 10:2025/BCA về trang bị phương tiện PCCC (đối chiếu số lượng bình, phương tiện)</w:t>
      </w:r>
    </w:p>
    <w:p>
      <w:pPr>
        <w:keepNext/>
        <w:spacing w:before="160"/>
      </w:pPr>
      <w:r>
        <w:rPr>
          <w:b/>
          <w:i w:val="0"/>
          <w:sz w:val="26"/>
        </w:rPr>
        <w:t>3. Thành phần hồ sơ quản lý công tác PCCC và CNCH của cơ sở</w:t>
      </w:r>
    </w:p>
    <w:p>
      <w:pPr>
        <w:jc w:val="both"/>
      </w:pPr>
      <w:r>
        <w:rPr>
          <w:b w:val="0"/>
          <w:i w:val="0"/>
        </w:rPr>
        <w:t xml:space="preserve">Theo khoản 1 Điều 4 Nghị định 105/2025/NĐ-CP (đã sửa đổi bởi NĐ 347/2026) </w:t>
      </w:r>
      <w:r>
        <w:rPr>
          <w:b/>
          <w:i w:val="0"/>
          <w:color w:val="D22621"/>
        </w:rPr>
        <w:t>⚠</w:t>
      </w:r>
      <w:r>
        <w:rPr>
          <w:b w:val="0"/>
          <w:i w:val="0"/>
        </w:rPr>
        <w:t>, hồ sơ gồm các tài liệu dưới đây. Cột cuối chỉ mẫu nào trong bộ này đáp ứng.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680"/>
        <w:gridCol w:w="6236"/>
        <w:gridCol w:w="2268"/>
      </w:tblGrid>
      <w:tr>
        <w:trPr>
          <w:tblHeader w:val="true"/>
        </w:trPr>
        <w:tc>
          <w:tcPr>
            <w:tcW w:type="dxa" w:w="680"/>
            <w:shd w:val="clear" w:color="auto" w:fill="DDEFE3"/>
          </w:tcPr>
          <w:p>
            <w:pPr>
              <w:spacing w:after="20"/>
              <w:jc w:val="center"/>
            </w:pPr>
            <w:r/>
            <w:r>
              <w:rPr>
                <w:b/>
                <w:i w:val="0"/>
                <w:sz w:val="20"/>
              </w:rPr>
              <w:t>TT</w:t>
            </w:r>
          </w:p>
        </w:tc>
        <w:tc>
          <w:tcPr>
            <w:tcW w:type="dxa" w:w="6236"/>
            <w:shd w:val="clear" w:color="auto" w:fill="DDEFE3"/>
          </w:tcPr>
          <w:p>
            <w:pPr>
              <w:spacing w:after="20"/>
              <w:jc w:val="center"/>
            </w:pPr>
            <w:r/>
            <w:r>
              <w:rPr>
                <w:b/>
                <w:i w:val="0"/>
                <w:sz w:val="20"/>
              </w:rPr>
              <w:t>Tài liệu</w:t>
            </w:r>
          </w:p>
        </w:tc>
        <w:tc>
          <w:tcPr>
            <w:tcW w:type="dxa" w:w="2268"/>
            <w:shd w:val="clear" w:color="auto" w:fill="DDEFE3"/>
          </w:tcPr>
          <w:p>
            <w:pPr>
              <w:spacing w:after="20"/>
              <w:jc w:val="center"/>
            </w:pPr>
            <w:r/>
            <w:r>
              <w:rPr>
                <w:b/>
                <w:i w:val="0"/>
                <w:sz w:val="20"/>
              </w:rPr>
              <w:t>Bộ mẫu này</w:t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1</w:t>
            </w:r>
          </w:p>
        </w:tc>
        <w:tc>
          <w:tcPr>
            <w:tcW w:type="dxa" w:w="6236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Phiếu thông tin về cơ sở (Mẫu PC01)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—</w:t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2</w:t>
            </w:r>
          </w:p>
        </w:tc>
        <w:tc>
          <w:tcPr>
            <w:tcW w:type="dxa" w:w="6236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Nội quy về PCCC và CNCH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Mẫu 2 – Phần A</w:t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3</w:t>
            </w:r>
          </w:p>
        </w:tc>
        <w:tc>
          <w:tcPr>
            <w:tcW w:type="dxa" w:w="6236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Văn bản thẩm định thiết kế, biên bản nghiệm thu hoàn thành hạng mục công trình (nếu thuộc diện) ⚠ NĐ 347 thay "văn bản chấp thuận kết quả nghiệm thu"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—</w:t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4</w:t>
            </w:r>
          </w:p>
        </w:tc>
        <w:tc>
          <w:tcPr>
            <w:tcW w:type="dxa" w:w="6236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Quyết định thành lập đội PCCC cơ sở / văn bản phân công người làm nhiệm vụ PCCC; kết quả huấn luyện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Mẫu 1; Mẫu 2 – Phần E</w:t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5</w:t>
            </w:r>
          </w:p>
        </w:tc>
        <w:tc>
          <w:tcPr>
            <w:tcW w:type="dxa" w:w="6236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Phương án chữa cháy và CNCH của cơ sở (Mẫu PC06)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Mẫu 3</w:t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6</w:t>
            </w:r>
          </w:p>
        </w:tc>
        <w:tc>
          <w:tcPr>
            <w:tcW w:type="dxa" w:w="6236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Sổ theo dõi, quản lý phương tiện PCCC và CNCH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Mẫu 2 – Phần D</w:t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7</w:t>
            </w:r>
          </w:p>
        </w:tc>
        <w:tc>
          <w:tcPr>
            <w:tcW w:type="dxa" w:w="6236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Biên bản tự kiểm tra về PCCC (Mẫu PC02)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Mẫu 2 – Phần C (sổ kiểm tra thường xuyên)</w:t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8</w:t>
            </w:r>
          </w:p>
        </w:tc>
        <w:tc>
          <w:tcPr>
            <w:tcW w:type="dxa" w:w="6236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Báo cáo kết quả công tác PCCC định kỳ (Mẫu PC04)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—</w:t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9</w:t>
            </w:r>
          </w:p>
        </w:tc>
        <w:tc>
          <w:tcPr>
            <w:tcW w:type="dxa" w:w="6236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Giấy chứng nhận bảo hiểm cháy, nổ bắt buộc (nếu thuộc diện)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—</w:t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10</w:t>
            </w:r>
          </w:p>
        </w:tc>
        <w:tc>
          <w:tcPr>
            <w:tcW w:type="dxa" w:w="6236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Bản vẽ hoàn công (công trình thuộc diện thẩm định thiết kế)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—</w:t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11–14</w:t>
            </w:r>
          </w:p>
        </w:tc>
        <w:tc>
          <w:tcPr>
            <w:tcW w:type="dxa" w:w="6236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Kết luận điều tra vụ cháy; biên bản kiểm tra của Công an/UBND; quyết định xử phạt, tạm đình chỉ; văn bản phân công người kiểm tra (nếu có)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—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078F3E"/>
          <w:left w:val="single" w:sz="4" w:color="078F3E"/>
          <w:bottom w:val="single" w:sz="4" w:color="078F3E"/>
          <w:right w:val="single" w:sz="4" w:color="078F3E"/>
          <w:insideH w:val="single" w:sz="4" w:color="078F3E"/>
          <w:insideV w:val="single" w:sz="4" w:color="078F3E"/>
        </w:tblBorders>
      </w:tblPr>
      <w:tblGrid>
        <w:gridCol w:w="9185"/>
      </w:tblGrid>
      <w:tr>
        <w:tc>
          <w:tcPr>
            <w:tcW w:type="dxa" w:w="9185"/>
            <w:shd w:val="clear" w:color="auto" w:fill="EEF8F1"/>
          </w:tcPr>
          <w:p>
            <w:r>
              <w:rPr>
                <w:b/>
                <w:color w:val="078F3E"/>
                <w:sz w:val="22"/>
              </w:rPr>
              <w:t>HƯỚNG DẪN · Lưu ý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 xml:space="preserve">• </w:t>
            </w:r>
            <w:r>
              <w:rPr>
                <w:b w:val="0"/>
                <w:i w:val="0"/>
                <w:sz w:val="21"/>
              </w:rPr>
              <w:t xml:space="preserve">Thiếu tài liệu trong hồ sơ hoặc không lập hồ sơ bị xử phạt theo Điều 9 NĐ 106/2025 (cá nhân 1–3 triệu đồng khi thiếu, 5–7 triệu đồng khi không lập; tổ chức gấp 2) </w:t>
            </w:r>
            <w:r>
              <w:rPr>
                <w:b/>
                <w:i w:val="0"/>
                <w:color w:val="D22621"/>
                <w:sz w:val="21"/>
              </w:rPr>
              <w:t>⚠ kiểm lại mức sau NĐ 347/2026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 xml:space="preserve">• </w:t>
            </w:r>
            <w:r>
              <w:rPr>
                <w:b w:val="0"/>
                <w:i w:val="0"/>
                <w:sz w:val="21"/>
              </w:rPr>
              <w:t>Danh mục 14 thành phần lấy từ bản trích Điều 4 NĐ 105/2025; nên đối chiếu toàn văn đã sửa đổi tại vanban.chinhphu.vn.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 xml:space="preserve">• </w:t>
            </w:r>
            <w:r>
              <w:rPr>
                <w:b w:val="0"/>
                <w:i w:val="0"/>
                <w:sz w:val="21"/>
              </w:rPr>
              <w:t>Mẫu PC01, PC02, PC04 lấy nguyên mẫu tại Phụ lục NĐ 105/2025 (không đưa vào bộ này để tránh sai lệch bản gốc).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134" w:right="102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7"/>
      </w:rPr>
      <w:t>Bộ mẫu tham khảo do Thép Minh Tiến biên soạn · pccc.sieuthisatthep.net · Hotline/Zalo 0937.664.114 · Đối chiếu văn bản gốc trước khi dùng; chỗ đánh ⚠ cần kiểm điều khoản.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 w:eastAsia="Times New Roman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